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86MS0071-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-13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05-0954/2802/2025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7rplc-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привлекаемого к ответственности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PhoneNumbergrp-25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37, кв. 9, Ханты-Мансийск г,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удостоверяющий личность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6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ExternalSystem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работающей, имеющей на иждивении двоих несовершеннолетних детей, одному из которых менее 14 лет,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«Перекресток»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хищение товара: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szCs w:val="28"/>
        </w:rPr>
        <w:t>Fox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eastAsia="Times New Roman" w:hAnsi="Times New Roman" w:cs="Times New Roman"/>
          <w:sz w:val="28"/>
          <w:szCs w:val="28"/>
        </w:rPr>
        <w:t>Dogs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</w:t>
      </w:r>
      <w:r>
        <w:rPr>
          <w:rStyle w:val="cat-OrganizationNamegrp-2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, от пояснений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OrganizationNamegrp-21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о времени и месте рассмотрения административного дела извещен надлежащим образом. При таких обстоятельствах, судья, находит возможным, рассмотреть дело в отсутствие потерпевшего на основании ч.3 ст.25.2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Туснолобову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КоАП РФ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</w:t>
      </w:r>
      <w:r>
        <w:rPr>
          <w:rStyle w:val="cat-SumInWordsgrp-18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более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за исключением случаев, предусмотренных статьями 7.20 и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Туснолобовой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указанного выше административного правонарушения подтверждается следующими исследованными в судебном заседании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86№398638 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заявлением представителя потерпевшего о привлечении к ответственности лица, совершившего кражу товара, </w:t>
      </w:r>
      <w:r>
        <w:rPr>
          <w:rFonts w:ascii="Times New Roman" w:eastAsia="Times New Roman" w:hAnsi="Times New Roman" w:cs="Times New Roman"/>
          <w:sz w:val="28"/>
          <w:szCs w:val="28"/>
        </w:rPr>
        <w:t>товарно-транспортной накладной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фото-таблицей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представленные суду, получены без нарушения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Туснолобовой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ст.7.27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</w:t>
      </w:r>
      <w:r>
        <w:rPr>
          <w:rStyle w:val="cat-SumInWordsgrp-18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более </w:t>
      </w:r>
      <w:r>
        <w:rPr>
          <w:rStyle w:val="cat-SumInWordsgrp-19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избрании меры наказания за правонарушение, суд учитывает обстоятельства правонарушения, характер совершённого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согласно п. 1 ч. 1 ст. 4.2 КоАП РФ, является раскаяние в содеянном, выраженное при ра</w:t>
      </w:r>
      <w:r>
        <w:rPr>
          <w:rFonts w:ascii="Times New Roman" w:eastAsia="Times New Roman" w:hAnsi="Times New Roman" w:cs="Times New Roman"/>
          <w:sz w:val="28"/>
          <w:szCs w:val="28"/>
        </w:rPr>
        <w:t>ссмотрении дела, а также в порядке ч.2 ст.4.2 КоАП РФ, наличие малолетнего ребенка у привлекаемого к ответственности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согласно ст. 4.3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обстоятельств совершенного правонарушения, личности виновного, его имущественного положения, характера совершённого им административного правонарушения, его поведения до и после совершения правонарушения, материального положения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стабильный доход, мировой судья полагает назначить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работ, что будет соответствовать достижению целей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29.9-29.11 Кодекса РФ об АП,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обязательных работ поручить судебному приставу-исполнителю отдела судебных приставов по </w:t>
      </w:r>
      <w:r>
        <w:rPr>
          <w:rStyle w:val="cat-Addressgrp-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судебных приставов России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ст. 32.13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привлекаемому к административной ответственности,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соответствующего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PhoneNumbergrp-26rplc-15">
    <w:name w:val="cat-PhoneNumber grp-26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ExternalSystemDefinedgrp-27rplc-18">
    <w:name w:val="cat-ExternalSystemDefined grp-27 rplc-18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InWordsgrp-18rplc-32">
    <w:name w:val="cat-SumInWords grp-18 rplc-32"/>
    <w:basedOn w:val="DefaultParagraphFont"/>
  </w:style>
  <w:style w:type="character" w:customStyle="1" w:styleId="cat-SumInWordsgrp-19rplc-33">
    <w:name w:val="cat-SumInWords grp-19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